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5"/>
        <w:tabs>
          <w:tab w:val="clear" w:pos="408"/>
          <w:tab w:val="left" w:pos="-3402" w:leader="none"/>
          <w:tab w:val="left" w:pos="0" w:leader="none"/>
          <w:tab w:val="left" w:pos="426" w:leader="none"/>
          <w:tab w:val="left" w:pos="9071" w:leader="none"/>
        </w:tabs>
        <w:ind w:right="-2" w:hanging="0"/>
        <w:jc w:val="center"/>
        <w:rPr>
          <w:sz w:val="28"/>
          <w:szCs w:val="28"/>
        </w:rPr>
      </w:pPr>
      <w:r>
        <w:rPr>
          <w:rFonts w:eastAsia="Times New Roman" w:cs="Times New Roman"/>
          <w:b/>
          <w:color w:val="000000"/>
          <w:kern w:val="0"/>
          <w:sz w:val="28"/>
          <w:szCs w:val="28"/>
          <w:lang w:val="ru-RU" w:eastAsia="ru-RU" w:bidi="ar-SA"/>
        </w:rPr>
        <w:t>Сведения</w:t>
      </w:r>
      <w:r>
        <w:rPr>
          <w:b/>
          <w:color w:val="000000"/>
          <w:sz w:val="28"/>
          <w:szCs w:val="28"/>
        </w:rPr>
        <w:t xml:space="preserve"> о результатах работы </w:t>
      </w:r>
    </w:p>
    <w:p>
      <w:pPr>
        <w:pStyle w:val="Style31"/>
        <w:spacing w:before="0" w:after="0"/>
        <w:ind w:left="0" w:right="-2" w:hanging="0"/>
        <w:contextualSpacing/>
        <w:jc w:val="center"/>
        <w:rPr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>подразделений лицензионно-разрешительной работы</w:t>
      </w:r>
    </w:p>
    <w:p>
      <w:pPr>
        <w:pStyle w:val="Style31"/>
        <w:spacing w:before="0" w:after="0"/>
        <w:ind w:left="0" w:right="-2" w:hanging="0"/>
        <w:contextualSpacing/>
        <w:jc w:val="center"/>
        <w:rPr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>Управления Росгвардии по Республике Коми</w:t>
      </w:r>
    </w:p>
    <w:p>
      <w:pPr>
        <w:pStyle w:val="Style31"/>
        <w:spacing w:before="0" w:after="0"/>
        <w:ind w:left="0" w:right="-2" w:hanging="0"/>
        <w:contextualSpacing/>
        <w:jc w:val="center"/>
        <w:rPr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 xml:space="preserve">за </w:t>
      </w:r>
      <w:r>
        <w:rPr>
          <w:rFonts w:eastAsia="Calibri" w:cs="Times New Roman"/>
          <w:b/>
          <w:color w:val="000000"/>
          <w:spacing w:val="-4"/>
          <w:kern w:val="0"/>
          <w:sz w:val="28"/>
          <w:szCs w:val="28"/>
          <w:lang w:val="ru-RU" w:eastAsia="en-US" w:bidi="ar-SA"/>
        </w:rPr>
        <w:t>12</w:t>
      </w:r>
      <w:r>
        <w:rPr>
          <w:b/>
          <w:color w:val="000000"/>
          <w:spacing w:val="-4"/>
          <w:sz w:val="28"/>
          <w:szCs w:val="28"/>
        </w:rPr>
        <w:t xml:space="preserve"> месяц</w:t>
      </w:r>
      <w:r>
        <w:rPr>
          <w:rFonts w:eastAsia="Calibri" w:cs="Times New Roman"/>
          <w:b/>
          <w:color w:val="000000"/>
          <w:spacing w:val="-4"/>
          <w:kern w:val="0"/>
          <w:sz w:val="28"/>
          <w:szCs w:val="28"/>
          <w:lang w:val="ru-RU" w:eastAsia="en-US" w:bidi="ar-SA"/>
        </w:rPr>
        <w:t>ев</w:t>
      </w:r>
      <w:r>
        <w:rPr>
          <w:b/>
          <w:color w:val="000000"/>
          <w:spacing w:val="-4"/>
          <w:sz w:val="28"/>
          <w:szCs w:val="28"/>
        </w:rPr>
        <w:t xml:space="preserve"> 2024 года</w:t>
      </w:r>
    </w:p>
    <w:p>
      <w:pPr>
        <w:pStyle w:val="Style31"/>
        <w:spacing w:before="0" w:after="0"/>
        <w:ind w:left="0" w:firstLine="709"/>
        <w:contextualSpacing/>
        <w:jc w:val="both"/>
        <w:rPr>
          <w:b/>
          <w:b/>
          <w:color w:val="000000"/>
          <w:spacing w:val="-4"/>
          <w:sz w:val="28"/>
          <w:szCs w:val="28"/>
          <w:highlight w:val="yellow"/>
          <w:u w:val="single"/>
        </w:rPr>
      </w:pPr>
      <w:r>
        <w:rPr>
          <w:b/>
          <w:color w:val="000000"/>
          <w:spacing w:val="-4"/>
          <w:sz w:val="28"/>
          <w:szCs w:val="28"/>
          <w:highlight w:val="yellow"/>
          <w:u w:val="single"/>
        </w:rPr>
      </w:r>
    </w:p>
    <w:p>
      <w:pPr>
        <w:pStyle w:val="Normal"/>
        <w:ind w:firstLine="567"/>
        <w:jc w:val="both"/>
        <w:rPr/>
      </w:pPr>
      <w:r>
        <w:rPr>
          <w:b/>
          <w:i/>
          <w:iCs w:val="false"/>
          <w:color w:val="000000"/>
          <w:spacing w:val="-4"/>
          <w:sz w:val="28"/>
          <w:szCs w:val="28"/>
        </w:rPr>
        <w:t>Контроль за оборотом оружия.</w:t>
      </w:r>
    </w:p>
    <w:p>
      <w:pPr>
        <w:pStyle w:val="Normal"/>
        <w:ind w:firstLine="567"/>
        <w:jc w:val="both"/>
        <w:rPr/>
      </w:pPr>
      <w:r>
        <w:rPr>
          <w:i w:val="false"/>
          <w:iCs w:val="false"/>
          <w:color w:val="000000"/>
          <w:sz w:val="28"/>
          <w:szCs w:val="28"/>
        </w:rPr>
        <w:t>На учёте подразделений лицензионно-разрешительной работы Управления Росгвардии по Республике Коми состоит 3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1 047</w:t>
      </w:r>
      <w:r>
        <w:rPr>
          <w:i w:val="false"/>
          <w:iCs w:val="false"/>
          <w:color w:val="000000"/>
          <w:sz w:val="28"/>
          <w:szCs w:val="28"/>
        </w:rPr>
        <w:t xml:space="preserve"> владел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ьцев</w:t>
      </w:r>
      <w:r>
        <w:rPr>
          <w:i w:val="false"/>
          <w:iCs w:val="false"/>
          <w:color w:val="000000"/>
          <w:sz w:val="28"/>
          <w:szCs w:val="28"/>
        </w:rPr>
        <w:t xml:space="preserve"> оружия (АППГ – 3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2497</w:t>
      </w:r>
      <w:r>
        <w:rPr>
          <w:i w:val="false"/>
          <w:iCs w:val="false"/>
          <w:color w:val="000000"/>
          <w:sz w:val="28"/>
          <w:szCs w:val="28"/>
        </w:rPr>
        <w:t>, -4,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5</w:t>
      </w:r>
      <w:r>
        <w:rPr>
          <w:i w:val="false"/>
          <w:iCs w:val="false"/>
          <w:color w:val="000000"/>
          <w:sz w:val="28"/>
          <w:szCs w:val="28"/>
        </w:rPr>
        <w:t>%), имеющих в пользовании 6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 xml:space="preserve">2 398 </w:t>
      </w:r>
      <w:r>
        <w:rPr>
          <w:i w:val="false"/>
          <w:iCs w:val="false"/>
          <w:color w:val="000000"/>
          <w:sz w:val="28"/>
          <w:szCs w:val="28"/>
        </w:rPr>
        <w:t>единиц оружия (АППГ – 6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4293,</w:t>
      </w:r>
      <w:r>
        <w:rPr>
          <w:i w:val="false"/>
          <w:iCs w:val="false"/>
          <w:color w:val="000000"/>
          <w:sz w:val="28"/>
          <w:szCs w:val="28"/>
        </w:rPr>
        <w:t xml:space="preserve"> - 2,9 %), из них 163 ед. охолощенного.</w:t>
      </w:r>
    </w:p>
    <w:p>
      <w:pPr>
        <w:pStyle w:val="Style31"/>
        <w:spacing w:before="0" w:after="0"/>
        <w:ind w:left="0" w:firstLine="567"/>
        <w:contextualSpacing/>
        <w:jc w:val="both"/>
        <w:rPr/>
      </w:pPr>
      <w:r>
        <w:rPr>
          <w:i w:val="false"/>
          <w:iCs w:val="false"/>
          <w:color w:val="000000"/>
          <w:sz w:val="28"/>
          <w:szCs w:val="28"/>
        </w:rPr>
        <w:t xml:space="preserve">На территории республики функционирует </w:t>
      </w:r>
      <w:r>
        <w:rPr>
          <w:rFonts w:eastAsia="Calibri" w:cs="Times New Roman"/>
          <w:i w:val="false"/>
          <w:iCs w:val="false"/>
          <w:color w:val="000000"/>
          <w:kern w:val="0"/>
          <w:sz w:val="28"/>
          <w:szCs w:val="28"/>
          <w:lang w:val="ru-RU" w:eastAsia="en-US" w:bidi="ar-SA"/>
        </w:rPr>
        <w:t>61</w:t>
      </w:r>
      <w:r>
        <w:rPr>
          <w:i w:val="false"/>
          <w:iCs w:val="false"/>
          <w:color w:val="000000"/>
          <w:sz w:val="28"/>
          <w:szCs w:val="28"/>
        </w:rPr>
        <w:t xml:space="preserve"> юридическ</w:t>
      </w:r>
      <w:r>
        <w:rPr>
          <w:rFonts w:eastAsia="Calibri" w:cs="Times New Roman"/>
          <w:i w:val="false"/>
          <w:iCs w:val="false"/>
          <w:color w:val="000000"/>
          <w:kern w:val="0"/>
          <w:sz w:val="28"/>
          <w:szCs w:val="28"/>
          <w:lang w:val="ru-RU" w:eastAsia="en-US" w:bidi="ar-SA"/>
        </w:rPr>
        <w:t>ое</w:t>
      </w:r>
      <w:r>
        <w:rPr>
          <w:i w:val="false"/>
          <w:iCs w:val="false"/>
          <w:color w:val="000000"/>
          <w:sz w:val="28"/>
          <w:szCs w:val="28"/>
        </w:rPr>
        <w:t xml:space="preserve"> лицо (10</w:t>
      </w:r>
      <w:r>
        <w:rPr>
          <w:rFonts w:eastAsia="Calibri" w:cs="Times New Roman"/>
          <w:i w:val="false"/>
          <w:iCs w:val="false"/>
          <w:color w:val="000000"/>
          <w:kern w:val="0"/>
          <w:sz w:val="28"/>
          <w:szCs w:val="28"/>
          <w:lang w:val="ru-RU" w:eastAsia="en-US" w:bidi="ar-SA"/>
        </w:rPr>
        <w:t>3</w:t>
      </w:r>
      <w:r>
        <w:rPr>
          <w:i w:val="false"/>
          <w:iCs w:val="false"/>
          <w:color w:val="000000"/>
          <w:sz w:val="28"/>
          <w:szCs w:val="28"/>
        </w:rPr>
        <w:t xml:space="preserve"> КХО), в пользовании которых находится </w:t>
      </w:r>
      <w:r>
        <w:rPr>
          <w:rFonts w:eastAsia="Calibri" w:cs="Times New Roman"/>
          <w:i w:val="false"/>
          <w:iCs w:val="false"/>
          <w:color w:val="000000"/>
          <w:kern w:val="0"/>
          <w:sz w:val="28"/>
          <w:szCs w:val="28"/>
          <w:lang w:val="ru-RU" w:eastAsia="en-US" w:bidi="ar-SA"/>
        </w:rPr>
        <w:t>2795</w:t>
      </w:r>
      <w:r>
        <w:rPr>
          <w:i w:val="false"/>
          <w:iCs w:val="false"/>
          <w:color w:val="000000"/>
          <w:sz w:val="28"/>
          <w:szCs w:val="28"/>
        </w:rPr>
        <w:t xml:space="preserve"> единиц оружия, в т.ч. 10 организаций реализующих предметы вооружения в 16 специализированных магазинах (1</w:t>
      </w:r>
      <w:r>
        <w:rPr>
          <w:rFonts w:eastAsia="Calibri" w:cs="Times New Roman"/>
          <w:i w:val="false"/>
          <w:iCs w:val="false"/>
          <w:color w:val="000000"/>
          <w:kern w:val="0"/>
          <w:sz w:val="28"/>
          <w:szCs w:val="28"/>
          <w:lang w:val="ru-RU" w:eastAsia="en-US" w:bidi="ar-SA"/>
        </w:rPr>
        <w:t>291</w:t>
      </w:r>
      <w:r>
        <w:rPr>
          <w:i w:val="false"/>
          <w:iCs w:val="false"/>
          <w:color w:val="000000"/>
          <w:sz w:val="28"/>
          <w:szCs w:val="28"/>
        </w:rPr>
        <w:t xml:space="preserve"> единиц</w:t>
      </w:r>
      <w:r>
        <w:rPr>
          <w:rFonts w:eastAsia="Calibri" w:cs="Times New Roman"/>
          <w:i w:val="false"/>
          <w:iCs w:val="false"/>
          <w:color w:val="000000"/>
          <w:kern w:val="0"/>
          <w:sz w:val="28"/>
          <w:szCs w:val="28"/>
          <w:lang w:val="ru-RU" w:eastAsia="en-US" w:bidi="ar-SA"/>
        </w:rPr>
        <w:t>а</w:t>
      </w:r>
      <w:r>
        <w:rPr>
          <w:i w:val="false"/>
          <w:iCs w:val="false"/>
          <w:color w:val="000000"/>
          <w:sz w:val="28"/>
          <w:szCs w:val="28"/>
        </w:rPr>
        <w:t>).</w:t>
      </w:r>
    </w:p>
    <w:p>
      <w:pPr>
        <w:pStyle w:val="Style31"/>
        <w:spacing w:before="0" w:after="0"/>
        <w:ind w:left="0" w:firstLine="567"/>
        <w:contextualSpacing/>
        <w:jc w:val="both"/>
        <w:rPr/>
      </w:pPr>
      <w:r>
        <w:rPr>
          <w:color w:val="000000"/>
          <w:sz w:val="28"/>
          <w:szCs w:val="28"/>
        </w:rPr>
        <w:t>Криминогенная ситуация в области оборота оружия в республике характеризуется сни</w:t>
      </w:r>
      <w:r>
        <w:rPr>
          <w:rFonts w:eastAsia="Calibri" w:cs="Times New Roman"/>
          <w:color w:val="000000"/>
          <w:kern w:val="0"/>
          <w:sz w:val="28"/>
          <w:szCs w:val="28"/>
          <w:lang w:val="ru-RU" w:eastAsia="en-US" w:bidi="ar-SA"/>
        </w:rPr>
        <w:t>жением</w:t>
      </w:r>
      <w:r>
        <w:rPr>
          <w:color w:val="000000"/>
          <w:sz w:val="28"/>
          <w:szCs w:val="28"/>
        </w:rPr>
        <w:t xml:space="preserve"> на </w:t>
      </w:r>
      <w:r>
        <w:rPr>
          <w:rFonts w:eastAsia="Calibri" w:cs="Times New Roman"/>
          <w:color w:val="000000"/>
          <w:kern w:val="0"/>
          <w:sz w:val="28"/>
          <w:szCs w:val="28"/>
          <w:lang w:val="ru-RU" w:eastAsia="en-US" w:bidi="ar-SA"/>
        </w:rPr>
        <w:t>37</w:t>
      </w:r>
      <w:r>
        <w:rPr>
          <w:color w:val="000000"/>
          <w:sz w:val="28"/>
          <w:szCs w:val="28"/>
        </w:rPr>
        <w:t xml:space="preserve"> % (с 2</w:t>
      </w:r>
      <w:r>
        <w:rPr>
          <w:rFonts w:eastAsia="Calibri" w:cs="Times New Roman"/>
          <w:color w:val="000000"/>
          <w:kern w:val="0"/>
          <w:sz w:val="28"/>
          <w:szCs w:val="28"/>
          <w:lang w:val="ru-RU" w:eastAsia="en-US" w:bidi="ar-SA"/>
        </w:rPr>
        <w:t>7</w:t>
      </w:r>
      <w:r>
        <w:rPr>
          <w:color w:val="000000"/>
          <w:sz w:val="28"/>
          <w:szCs w:val="28"/>
        </w:rPr>
        <w:t xml:space="preserve"> до 1</w:t>
      </w:r>
      <w:r>
        <w:rPr>
          <w:rFonts w:eastAsia="Calibri" w:cs="Times New Roman"/>
          <w:color w:val="000000"/>
          <w:kern w:val="0"/>
          <w:sz w:val="28"/>
          <w:szCs w:val="28"/>
          <w:lang w:val="ru-RU" w:eastAsia="en-US" w:bidi="ar-SA"/>
        </w:rPr>
        <w:t>7</w:t>
      </w:r>
      <w:r>
        <w:rPr>
          <w:color w:val="000000"/>
          <w:sz w:val="28"/>
          <w:szCs w:val="28"/>
        </w:rPr>
        <w:t>) о</w:t>
      </w:r>
      <w:r>
        <w:rPr>
          <w:color w:val="000000"/>
          <w:sz w:val="28"/>
          <w:szCs w:val="28"/>
        </w:rPr>
        <w:t>бще</w:t>
      </w:r>
      <w:r>
        <w:rPr>
          <w:color w:val="000000"/>
          <w:sz w:val="28"/>
          <w:szCs w:val="28"/>
        </w:rPr>
        <w:t>го</w:t>
      </w:r>
      <w:r>
        <w:rPr>
          <w:color w:val="000000"/>
          <w:sz w:val="28"/>
          <w:szCs w:val="28"/>
        </w:rPr>
        <w:t xml:space="preserve"> количеств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преступлений в области оборота оружия, а также в 2 раза преступлений с применением оружия, состоящем на учете (с 1</w:t>
      </w:r>
      <w:r>
        <w:rPr>
          <w:rFonts w:eastAsia="Calibri" w:cs="Times New Roman"/>
          <w:color w:val="000000"/>
          <w:kern w:val="0"/>
          <w:sz w:val="28"/>
          <w:szCs w:val="28"/>
          <w:lang w:val="ru-RU" w:eastAsia="en-US" w:bidi="ar-SA"/>
        </w:rPr>
        <w:t>6</w:t>
      </w:r>
      <w:r>
        <w:rPr>
          <w:color w:val="000000"/>
          <w:sz w:val="28"/>
          <w:szCs w:val="28"/>
        </w:rPr>
        <w:t xml:space="preserve"> до 8).</w:t>
      </w:r>
    </w:p>
    <w:p>
      <w:pPr>
        <w:pStyle w:val="Normal"/>
        <w:widowControl/>
        <w:tabs>
          <w:tab w:val="clear" w:pos="408"/>
          <w:tab w:val="left" w:pos="0" w:leader="none"/>
        </w:tabs>
        <w:suppressAutoHyphens w:val="true"/>
        <w:bidi w:val="0"/>
        <w:spacing w:lineRule="auto" w:line="240" w:before="0" w:after="0"/>
        <w:ind w:firstLine="567"/>
        <w:contextualSpacing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Количество утраченного оружия возросло на 12,1 % (с 33 до 37 единиц).</w:t>
      </w:r>
    </w:p>
    <w:p>
      <w:pPr>
        <w:pStyle w:val="Normal"/>
        <w:ind w:firstLine="567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Допущено 2 факта хищения оружия у граждан </w:t>
      </w:r>
      <w:r>
        <w:rPr>
          <w:rFonts w:eastAsia="Times New Roman" w:cs="Times New Roman"/>
          <w:i/>
          <w:iCs/>
          <w:color w:val="000000"/>
          <w:kern w:val="0"/>
          <w:sz w:val="28"/>
          <w:szCs w:val="28"/>
          <w:lang w:val="ru-RU" w:eastAsia="ru-RU" w:bidi="ar-SA"/>
        </w:rPr>
        <w:t>(АППГ — 3)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.</w:t>
      </w:r>
    </w:p>
    <w:p>
      <w:pPr>
        <w:pStyle w:val="Normal"/>
        <w:ind w:firstLine="567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Фактов хищения (утраты) оружия у юридических лиц не допущено </w:t>
      </w:r>
      <w:r>
        <w:rPr>
          <w:rFonts w:eastAsia="Times New Roman" w:cs="Times New Roman"/>
          <w:i/>
          <w:iCs/>
          <w:color w:val="000000"/>
          <w:kern w:val="0"/>
          <w:sz w:val="28"/>
          <w:szCs w:val="28"/>
          <w:lang w:val="ru-RU" w:eastAsia="ru-RU" w:bidi="ar-SA"/>
        </w:rPr>
        <w:t>(АППГ — 0/0)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.</w:t>
      </w:r>
    </w:p>
    <w:p>
      <w:pPr>
        <w:pStyle w:val="Normal"/>
        <w:ind w:firstLine="567"/>
        <w:jc w:val="both"/>
        <w:rPr/>
      </w:pPr>
      <w:r>
        <w:rPr>
          <w:color w:val="000000"/>
          <w:sz w:val="28"/>
          <w:szCs w:val="28"/>
        </w:rPr>
        <w:t xml:space="preserve">В отношении владельцев оружия составлено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487</w:t>
      </w:r>
      <w:r>
        <w:rPr>
          <w:color w:val="000000"/>
          <w:sz w:val="28"/>
          <w:szCs w:val="28"/>
        </w:rPr>
        <w:t xml:space="preserve"> административных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протокол</w:t>
      </w:r>
      <w:r>
        <w:rPr>
          <w:color w:val="000000"/>
          <w:sz w:val="28"/>
          <w:szCs w:val="28"/>
        </w:rPr>
        <w:t xml:space="preserve">ов за нарушения правил оборота оружия (АППГ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629</w:t>
      </w:r>
      <w:r>
        <w:rPr>
          <w:color w:val="000000"/>
          <w:sz w:val="28"/>
          <w:szCs w:val="28"/>
        </w:rPr>
        <w:t>, -22,6%).</w:t>
      </w:r>
    </w:p>
    <w:p>
      <w:pPr>
        <w:pStyle w:val="Normal"/>
        <w:ind w:firstLine="567"/>
        <w:jc w:val="both"/>
        <w:rPr/>
      </w:pPr>
      <w:r>
        <w:rPr>
          <w:i w:val="false"/>
          <w:iCs w:val="false"/>
          <w:color w:val="000000"/>
          <w:sz w:val="28"/>
          <w:szCs w:val="28"/>
        </w:rPr>
        <w:t xml:space="preserve">По различным основаниям изъято 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2133</w:t>
      </w:r>
      <w:r>
        <w:rPr>
          <w:i w:val="false"/>
          <w:iCs w:val="false"/>
          <w:color w:val="000000"/>
          <w:sz w:val="28"/>
          <w:szCs w:val="28"/>
        </w:rPr>
        <w:t xml:space="preserve"> единицы зарегистрированного оружия (АППГ – 1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795</w:t>
      </w:r>
      <w:r>
        <w:rPr>
          <w:i w:val="false"/>
          <w:iCs w:val="false"/>
          <w:color w:val="000000"/>
          <w:sz w:val="28"/>
          <w:szCs w:val="28"/>
        </w:rPr>
        <w:t xml:space="preserve">, +18,8%). Добровольно сдано гражданами 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806</w:t>
      </w:r>
      <w:r>
        <w:rPr>
          <w:i w:val="false"/>
          <w:iCs w:val="false"/>
          <w:color w:val="000000"/>
          <w:sz w:val="28"/>
          <w:szCs w:val="28"/>
        </w:rPr>
        <w:t xml:space="preserve"> единицы оружия (АППГ – 555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, + 45,2 %</w:t>
      </w:r>
      <w:r>
        <w:rPr>
          <w:i w:val="false"/>
          <w:iCs w:val="false"/>
          <w:color w:val="000000"/>
          <w:sz w:val="28"/>
          <w:szCs w:val="28"/>
        </w:rPr>
        <w:t>).</w:t>
      </w:r>
    </w:p>
    <w:p>
      <w:pPr>
        <w:pStyle w:val="Normal"/>
        <w:ind w:firstLine="567"/>
        <w:jc w:val="both"/>
        <w:rPr/>
      </w:pPr>
      <w:r>
        <w:rPr>
          <w:color w:val="000000"/>
          <w:sz w:val="28"/>
          <w:szCs w:val="28"/>
        </w:rPr>
        <w:t>На возмездной основе, в рамках реализации постановлени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я</w:t>
      </w:r>
      <w:r>
        <w:rPr>
          <w:color w:val="000000"/>
          <w:sz w:val="28"/>
          <w:szCs w:val="28"/>
        </w:rPr>
        <w:t xml:space="preserve"> Правительства Республики Коми от 19 апреля 2013 г. № 123, гражданами</w:t>
      </w:r>
      <w:r>
        <w:rPr>
          <w:i w:val="false"/>
          <w:iCs w:val="false"/>
          <w:color w:val="000000"/>
          <w:sz w:val="28"/>
          <w:szCs w:val="28"/>
        </w:rPr>
        <w:t xml:space="preserve"> сдано 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124</w:t>
      </w:r>
      <w:r>
        <w:rPr>
          <w:i w:val="false"/>
          <w:iCs w:val="false"/>
          <w:color w:val="000000"/>
          <w:sz w:val="28"/>
          <w:szCs w:val="28"/>
        </w:rPr>
        <w:t xml:space="preserve"> единицы незарегистрированного оружия (АППГ – 1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66</w:t>
      </w:r>
      <w:r>
        <w:rPr>
          <w:i w:val="false"/>
          <w:iCs w:val="false"/>
          <w:color w:val="000000"/>
          <w:sz w:val="28"/>
          <w:szCs w:val="28"/>
        </w:rPr>
        <w:t>).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/>
        <w:contextualSpacing/>
        <w:jc w:val="both"/>
        <w:rPr/>
      </w:pPr>
      <w:r>
        <w:rPr>
          <w:i w:val="false"/>
          <w:iCs w:val="false"/>
          <w:color w:val="000000"/>
          <w:sz w:val="28"/>
          <w:szCs w:val="28"/>
        </w:rPr>
        <w:t xml:space="preserve">К административной ответственности за нарушения правил оборота оружия привлечено 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5</w:t>
      </w:r>
      <w:r>
        <w:rPr>
          <w:i w:val="false"/>
          <w:iCs w:val="false"/>
          <w:color w:val="000000"/>
          <w:sz w:val="28"/>
          <w:szCs w:val="28"/>
        </w:rPr>
        <w:t xml:space="preserve"> юридических лиц (АППГ — 5), а также 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9</w:t>
      </w:r>
      <w:r>
        <w:rPr>
          <w:i w:val="false"/>
          <w:iCs w:val="false"/>
          <w:color w:val="000000"/>
          <w:sz w:val="28"/>
          <w:szCs w:val="28"/>
        </w:rPr>
        <w:t xml:space="preserve"> должностных лиц (АППГ - 1</w:t>
      </w:r>
      <w:r>
        <w:rPr>
          <w:rFonts w:eastAsia="Times New Roman" w:cs="Times New Roman"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5</w:t>
      </w:r>
      <w:r>
        <w:rPr>
          <w:i w:val="false"/>
          <w:iCs w:val="false"/>
          <w:color w:val="000000"/>
          <w:sz w:val="28"/>
          <w:szCs w:val="28"/>
        </w:rPr>
        <w:t>).</w:t>
      </w:r>
    </w:p>
    <w:p>
      <w:pPr>
        <w:pStyle w:val="Normal"/>
        <w:ind w:firstLine="567"/>
        <w:jc w:val="both"/>
        <w:rPr/>
      </w:pPr>
      <w:r>
        <w:rPr>
          <w:color w:val="000000"/>
          <w:sz w:val="28"/>
          <w:szCs w:val="28"/>
        </w:rPr>
        <w:t xml:space="preserve">В рамках реализации контрольно-надзорных функций во взаимодействии с территориальными органами МВД России на районном уровне в Республике Коми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за </w:t>
      </w:r>
      <w:r>
        <w:rPr>
          <w:color w:val="000000"/>
          <w:sz w:val="28"/>
          <w:szCs w:val="28"/>
        </w:rPr>
        <w:t>202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4</w:t>
      </w:r>
      <w:r>
        <w:rPr>
          <w:color w:val="000000"/>
          <w:sz w:val="28"/>
          <w:szCs w:val="28"/>
        </w:rPr>
        <w:t xml:space="preserve"> год проверено по месту жительства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8586</w:t>
      </w:r>
      <w:r>
        <w:rPr>
          <w:color w:val="000000"/>
          <w:sz w:val="28"/>
          <w:szCs w:val="28"/>
        </w:rPr>
        <w:t xml:space="preserve"> владельцев оружия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27,7</w:t>
      </w:r>
      <w:r>
        <w:rPr>
          <w:color w:val="000000"/>
          <w:sz w:val="28"/>
          <w:szCs w:val="28"/>
        </w:rPr>
        <w:t xml:space="preserve"> % от общего числа владельцев). Показатель проверки владельцев 1 раз в 5 лет выполнен на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100</w:t>
      </w:r>
      <w:r>
        <w:rPr>
          <w:color w:val="000000"/>
          <w:sz w:val="28"/>
          <w:szCs w:val="28"/>
        </w:rPr>
        <w:t xml:space="preserve"> % (31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047</w:t>
      </w:r>
      <w:r>
        <w:rPr>
          <w:color w:val="000000"/>
          <w:sz w:val="28"/>
          <w:szCs w:val="28"/>
        </w:rPr>
        <w:t xml:space="preserve"> проверенных).</w:t>
      </w:r>
    </w:p>
    <w:p>
      <w:pPr>
        <w:pStyle w:val="Normal"/>
        <w:ind w:firstLine="567"/>
        <w:jc w:val="both"/>
        <w:rPr/>
      </w:pPr>
      <w:r>
        <w:rPr>
          <w:color w:val="000000"/>
          <w:sz w:val="28"/>
          <w:szCs w:val="28"/>
        </w:rPr>
        <w:t xml:space="preserve">Количество владельцев, нарушивших сроки продления разрешительных документов,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снизилось на 20 %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с 5 до 4</w:t>
      </w:r>
      <w:r>
        <w:rPr>
          <w:color w:val="000000"/>
          <w:sz w:val="28"/>
          <w:szCs w:val="28"/>
        </w:rPr>
        <w:t xml:space="preserve">). </w:t>
      </w:r>
    </w:p>
    <w:p>
      <w:pPr>
        <w:pStyle w:val="Normal"/>
        <w:ind w:firstLine="567"/>
        <w:jc w:val="both"/>
        <w:rPr/>
      </w:pPr>
      <w:r>
        <w:rPr>
          <w:color w:val="000000"/>
          <w:sz w:val="28"/>
          <w:szCs w:val="28"/>
        </w:rPr>
        <w:t xml:space="preserve">По основаниям, предусмотренным Федеральных законом от 13.12.1996 № 150-ФЗ «Об оружии», аннулировано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2385</w:t>
      </w:r>
      <w:r>
        <w:rPr>
          <w:color w:val="000000"/>
          <w:sz w:val="28"/>
          <w:szCs w:val="28"/>
        </w:rPr>
        <w:t xml:space="preserve"> разрешительных документов (АППГ — 1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693</w:t>
      </w:r>
      <w:r>
        <w:rPr>
          <w:color w:val="000000"/>
          <w:sz w:val="28"/>
          <w:szCs w:val="28"/>
        </w:rPr>
        <w:t xml:space="preserve">, +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40,9</w:t>
      </w:r>
      <w:r>
        <w:rPr>
          <w:color w:val="000000"/>
          <w:sz w:val="28"/>
          <w:szCs w:val="28"/>
        </w:rPr>
        <w:t xml:space="preserve"> %). </w:t>
      </w:r>
    </w:p>
    <w:p>
      <w:pPr>
        <w:pStyle w:val="ConsPlusNormal"/>
        <w:ind w:firstLine="567"/>
        <w:jc w:val="both"/>
        <w:rPr>
          <w:color w:val="auto"/>
        </w:rPr>
      </w:pPr>
      <w:r>
        <w:rPr>
          <w:b/>
          <w:bCs/>
          <w:i/>
          <w:iCs/>
          <w:color w:val="auto"/>
          <w:sz w:val="28"/>
          <w:szCs w:val="28"/>
        </w:rPr>
        <w:t>Контроль в области частной охранной (детективной) деятельности.</w:t>
      </w:r>
    </w:p>
    <w:p>
      <w:pPr>
        <w:pStyle w:val="LOnormal"/>
        <w:ind w:left="0" w:right="0" w:firstLine="567"/>
        <w:jc w:val="both"/>
        <w:rPr>
          <w:color w:val="auto"/>
        </w:rPr>
      </w:pPr>
      <w:r>
        <w:rPr>
          <w:i w:val="false"/>
          <w:color w:val="auto"/>
          <w:sz w:val="28"/>
          <w:szCs w:val="28"/>
        </w:rPr>
        <w:t>На учете в подразделениях лицензионно-разрешительной работы находится 51 частн</w:t>
      </w:r>
      <w:r>
        <w:rPr>
          <w:rFonts w:eastAsia="Tahoma" w:cs="Noto Sans Devanagari"/>
          <w:i w:val="false"/>
          <w:color w:val="auto"/>
          <w:kern w:val="0"/>
          <w:sz w:val="28"/>
          <w:szCs w:val="28"/>
          <w:lang w:val="ru-RU" w:eastAsia="zh-CN" w:bidi="hi-IN"/>
        </w:rPr>
        <w:t>ая</w:t>
      </w:r>
      <w:r>
        <w:rPr>
          <w:i w:val="false"/>
          <w:color w:val="auto"/>
          <w:sz w:val="28"/>
          <w:szCs w:val="28"/>
        </w:rPr>
        <w:t xml:space="preserve"> охранн</w:t>
      </w:r>
      <w:r>
        <w:rPr>
          <w:rFonts w:eastAsia="Tahoma" w:cs="Noto Sans Devanagari"/>
          <w:i w:val="false"/>
          <w:color w:val="auto"/>
          <w:kern w:val="0"/>
          <w:sz w:val="28"/>
          <w:szCs w:val="28"/>
          <w:lang w:val="ru-RU" w:eastAsia="zh-CN" w:bidi="hi-IN"/>
        </w:rPr>
        <w:t>ая</w:t>
      </w:r>
      <w:r>
        <w:rPr>
          <w:i w:val="false"/>
          <w:color w:val="auto"/>
          <w:sz w:val="28"/>
          <w:szCs w:val="28"/>
        </w:rPr>
        <w:t xml:space="preserve"> организаци</w:t>
      </w:r>
      <w:r>
        <w:rPr>
          <w:rFonts w:eastAsia="Tahoma" w:cs="Noto Sans Devanagari"/>
          <w:color w:val="auto"/>
          <w:kern w:val="0"/>
          <w:sz w:val="28"/>
          <w:szCs w:val="28"/>
          <w:lang w:val="ru-RU" w:eastAsia="zh-CN" w:bidi="hi-IN"/>
        </w:rPr>
        <w:t>я</w:t>
      </w:r>
      <w:r>
        <w:rPr>
          <w:i w:val="false"/>
          <w:color w:val="auto"/>
          <w:sz w:val="28"/>
          <w:szCs w:val="28"/>
        </w:rPr>
        <w:t xml:space="preserve"> </w:t>
      </w:r>
      <w:r>
        <w:rPr>
          <w:i/>
          <w:color w:val="auto"/>
          <w:sz w:val="28"/>
          <w:szCs w:val="28"/>
        </w:rPr>
        <w:t>(АППГ – 54,-5,6%),</w:t>
      </w:r>
      <w:r>
        <w:rPr>
          <w:color w:val="auto"/>
          <w:sz w:val="28"/>
          <w:szCs w:val="28"/>
        </w:rPr>
        <w:t xml:space="preserve"> под охраной которых находится </w:t>
      </w:r>
      <w:r>
        <w:rPr>
          <w:rFonts w:eastAsia="Tahoma" w:cs="Noto Sans Devanagari"/>
          <w:color w:val="auto"/>
          <w:kern w:val="0"/>
          <w:sz w:val="28"/>
          <w:szCs w:val="28"/>
          <w:lang w:val="ru-RU" w:eastAsia="zh-CN" w:bidi="hi-IN"/>
        </w:rPr>
        <w:t>9207</w:t>
      </w:r>
      <w:r>
        <w:rPr>
          <w:color w:val="auto"/>
          <w:sz w:val="28"/>
          <w:szCs w:val="28"/>
        </w:rPr>
        <w:t xml:space="preserve"> объект</w:t>
      </w:r>
      <w:r>
        <w:rPr>
          <w:rFonts w:eastAsia="Tahoma" w:cs="Noto Sans Devanagari"/>
          <w:color w:val="auto"/>
          <w:kern w:val="0"/>
          <w:sz w:val="28"/>
          <w:szCs w:val="28"/>
          <w:lang w:val="ru-RU" w:eastAsia="zh-CN" w:bidi="hi-IN"/>
        </w:rPr>
        <w:t>ов</w:t>
      </w:r>
      <w:r>
        <w:rPr>
          <w:color w:val="auto"/>
          <w:sz w:val="28"/>
          <w:szCs w:val="28"/>
        </w:rPr>
        <w:t xml:space="preserve"> </w:t>
      </w:r>
      <w:r>
        <w:rPr>
          <w:i/>
          <w:color w:val="auto"/>
          <w:sz w:val="28"/>
          <w:szCs w:val="28"/>
        </w:rPr>
        <w:t xml:space="preserve">(АППГ – </w:t>
      </w:r>
      <w:r>
        <w:rPr>
          <w:rFonts w:eastAsia="Tahoma" w:cs="Noto Sans Devanagari"/>
          <w:i/>
          <w:color w:val="auto"/>
          <w:kern w:val="0"/>
          <w:sz w:val="28"/>
          <w:szCs w:val="28"/>
          <w:lang w:val="ru-RU" w:eastAsia="zh-CN" w:bidi="hi-IN"/>
        </w:rPr>
        <w:t>7901</w:t>
      </w:r>
      <w:r>
        <w:rPr>
          <w:i/>
          <w:color w:val="auto"/>
          <w:sz w:val="28"/>
          <w:szCs w:val="28"/>
        </w:rPr>
        <w:t xml:space="preserve">, </w:t>
      </w:r>
      <w:r>
        <w:rPr>
          <w:rFonts w:eastAsia="Tahoma" w:cs="Noto Sans Devanagari"/>
          <w:i/>
          <w:color w:val="auto"/>
          <w:kern w:val="0"/>
          <w:sz w:val="28"/>
          <w:szCs w:val="28"/>
          <w:lang w:val="ru-RU" w:eastAsia="zh-CN" w:bidi="hi-IN"/>
        </w:rPr>
        <w:t>+16,53</w:t>
      </w:r>
      <w:r>
        <w:rPr>
          <w:i/>
          <w:color w:val="auto"/>
          <w:sz w:val="28"/>
          <w:szCs w:val="28"/>
        </w:rPr>
        <w:t>%)</w:t>
      </w:r>
      <w:r>
        <w:rPr>
          <w:color w:val="auto"/>
          <w:sz w:val="28"/>
          <w:szCs w:val="28"/>
        </w:rPr>
        <w:t>.</w:t>
      </w:r>
    </w:p>
    <w:p>
      <w:pPr>
        <w:pStyle w:val="LOnormal"/>
        <w:ind w:left="0" w:right="0" w:firstLine="567"/>
        <w:jc w:val="both"/>
        <w:rPr>
          <w:color w:val="auto"/>
        </w:rPr>
      </w:pPr>
      <w:r>
        <w:rPr>
          <w:color w:val="auto"/>
          <w:sz w:val="28"/>
          <w:szCs w:val="28"/>
        </w:rPr>
        <w:t>3</w:t>
      </w:r>
      <w:r>
        <w:rPr>
          <w:rFonts w:eastAsia="Tahoma" w:cs="Noto Sans Devanagari"/>
          <w:color w:val="auto"/>
          <w:kern w:val="0"/>
          <w:sz w:val="28"/>
          <w:szCs w:val="28"/>
          <w:lang w:val="ru-RU" w:eastAsia="zh-CN" w:bidi="hi-IN"/>
        </w:rPr>
        <w:t>5</w:t>
      </w:r>
      <w:r>
        <w:rPr>
          <w:color w:val="auto"/>
          <w:sz w:val="28"/>
          <w:szCs w:val="28"/>
        </w:rPr>
        <w:t xml:space="preserve"> ЧОО </w:t>
      </w:r>
      <w:r>
        <w:rPr>
          <w:i/>
          <w:color w:val="auto"/>
          <w:sz w:val="28"/>
          <w:szCs w:val="28"/>
        </w:rPr>
        <w:t>(АППГ – 3</w:t>
      </w:r>
      <w:r>
        <w:rPr>
          <w:rFonts w:eastAsia="Tahoma" w:cs="Noto Sans Devanagari"/>
          <w:i/>
          <w:color w:val="auto"/>
          <w:kern w:val="0"/>
          <w:sz w:val="28"/>
          <w:szCs w:val="28"/>
          <w:lang w:val="ru-RU" w:eastAsia="zh-CN" w:bidi="hi-IN"/>
        </w:rPr>
        <w:t>5</w:t>
      </w:r>
      <w:r>
        <w:rPr>
          <w:i/>
          <w:color w:val="auto"/>
          <w:sz w:val="28"/>
          <w:szCs w:val="28"/>
        </w:rPr>
        <w:t>)</w:t>
      </w:r>
      <w:r>
        <w:rPr>
          <w:color w:val="auto"/>
          <w:sz w:val="28"/>
          <w:szCs w:val="28"/>
        </w:rPr>
        <w:t xml:space="preserve"> используют в своей деятельности 3</w:t>
      </w:r>
      <w:r>
        <w:rPr>
          <w:rFonts w:eastAsia="Tahoma" w:cs="Noto Sans Devanagari"/>
          <w:color w:val="auto"/>
          <w:kern w:val="0"/>
          <w:sz w:val="28"/>
          <w:szCs w:val="28"/>
          <w:lang w:val="ru-RU" w:eastAsia="zh-CN" w:bidi="hi-IN"/>
        </w:rPr>
        <w:t>68</w:t>
      </w:r>
      <w:r>
        <w:rPr>
          <w:color w:val="auto"/>
          <w:sz w:val="28"/>
          <w:szCs w:val="28"/>
        </w:rPr>
        <w:t xml:space="preserve"> единиц огнестрельного оружия </w:t>
      </w:r>
      <w:r>
        <w:rPr>
          <w:i/>
          <w:color w:val="auto"/>
          <w:sz w:val="28"/>
          <w:szCs w:val="28"/>
        </w:rPr>
        <w:t>(АППГ – 3</w:t>
      </w:r>
      <w:r>
        <w:rPr>
          <w:rFonts w:eastAsia="Tahoma" w:cs="Noto Sans Devanagari"/>
          <w:i/>
          <w:color w:val="auto"/>
          <w:kern w:val="0"/>
          <w:sz w:val="28"/>
          <w:szCs w:val="28"/>
          <w:lang w:val="ru-RU" w:eastAsia="zh-CN" w:bidi="hi-IN"/>
        </w:rPr>
        <w:t>38</w:t>
      </w:r>
      <w:r>
        <w:rPr>
          <w:i/>
          <w:color w:val="auto"/>
          <w:sz w:val="28"/>
          <w:szCs w:val="28"/>
        </w:rPr>
        <w:t>, 8,9%)</w:t>
      </w:r>
      <w:r>
        <w:rPr>
          <w:color w:val="auto"/>
          <w:sz w:val="28"/>
          <w:szCs w:val="28"/>
        </w:rPr>
        <w:t>.</w:t>
      </w:r>
    </w:p>
    <w:p>
      <w:pPr>
        <w:pStyle w:val="LOnormal"/>
        <w:ind w:left="0" w:right="0" w:firstLine="567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В охранных организациях, зарегистрированных на территории Республики Коми, трудоустроено 4577 работников </w:t>
      </w:r>
      <w:r>
        <w:rPr>
          <w:i/>
          <w:color w:val="auto"/>
          <w:sz w:val="28"/>
          <w:szCs w:val="28"/>
        </w:rPr>
        <w:t>(АППГ – 4637, -1,29%)</w:t>
      </w:r>
      <w:r>
        <w:rPr>
          <w:color w:val="auto"/>
          <w:sz w:val="28"/>
          <w:szCs w:val="28"/>
        </w:rPr>
        <w:t>.</w:t>
      </w:r>
    </w:p>
    <w:p>
      <w:pPr>
        <w:pStyle w:val="LOnormal"/>
        <w:ind w:left="0" w:right="0" w:firstLine="567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На учете состоят 3 частных детектива </w:t>
      </w:r>
      <w:r>
        <w:rPr>
          <w:i/>
          <w:color w:val="auto"/>
          <w:sz w:val="28"/>
          <w:szCs w:val="28"/>
        </w:rPr>
        <w:t xml:space="preserve">(АППГ — </w:t>
      </w:r>
      <w:r>
        <w:rPr>
          <w:rFonts w:eastAsia="Tahoma" w:cs="Noto Sans Devanagari"/>
          <w:i/>
          <w:color w:val="auto"/>
          <w:kern w:val="0"/>
          <w:sz w:val="28"/>
          <w:szCs w:val="28"/>
          <w:lang w:val="ru-RU" w:eastAsia="zh-CN" w:bidi="hi-IN"/>
        </w:rPr>
        <w:t>2, +50%</w:t>
      </w:r>
      <w:r>
        <w:rPr>
          <w:i/>
          <w:color w:val="auto"/>
          <w:sz w:val="28"/>
          <w:szCs w:val="28"/>
        </w:rPr>
        <w:t>)</w:t>
      </w:r>
      <w:r>
        <w:rPr>
          <w:color w:val="auto"/>
          <w:sz w:val="28"/>
          <w:szCs w:val="28"/>
        </w:rPr>
        <w:t>.</w:t>
      </w:r>
    </w:p>
    <w:p>
      <w:pPr>
        <w:pStyle w:val="Normal"/>
        <w:widowControl/>
        <w:suppressAutoHyphens w:val="true"/>
        <w:bidi w:val="0"/>
        <w:spacing w:lineRule="auto" w:line="240"/>
        <w:ind w:left="0" w:right="0" w:firstLine="567"/>
        <w:jc w:val="both"/>
        <w:rPr>
          <w:color w:val="auto"/>
        </w:rPr>
      </w:pPr>
      <w:r>
        <w:rPr>
          <w:rFonts w:eastAsia="Tahoma" w:cs="Noto Sans Devanagari"/>
          <w:b w:val="false"/>
          <w:bCs w:val="false"/>
          <w:i w:val="false"/>
          <w:iCs w:val="false"/>
          <w:color w:val="auto"/>
          <w:kern w:val="2"/>
          <w:sz w:val="28"/>
          <w:szCs w:val="28"/>
          <w:lang w:val="ru-RU" w:eastAsia="zh-CN" w:bidi="hi-IN"/>
        </w:rPr>
        <w:t xml:space="preserve">Всего в ходе контрольных функций составлено 145 протокола </w:t>
      </w:r>
      <w:r>
        <w:rPr>
          <w:rFonts w:eastAsia="Tahoma" w:cs="Noto Sans Devanagari"/>
          <w:b w:val="false"/>
          <w:bCs w:val="false"/>
          <w:i/>
          <w:iCs/>
          <w:color w:val="auto"/>
          <w:kern w:val="2"/>
          <w:sz w:val="28"/>
          <w:szCs w:val="28"/>
          <w:lang w:val="ru-RU" w:eastAsia="zh-CN" w:bidi="hi-IN"/>
        </w:rPr>
        <w:t>(АППГ – 110, +31,8%)</w:t>
      </w:r>
      <w:r>
        <w:rPr>
          <w:rFonts w:eastAsia="Tahoma" w:cs="Noto Sans Devanagari"/>
          <w:b w:val="false"/>
          <w:bCs w:val="false"/>
          <w:i w:val="false"/>
          <w:iCs w:val="false"/>
          <w:color w:val="auto"/>
          <w:kern w:val="2"/>
          <w:sz w:val="28"/>
          <w:szCs w:val="28"/>
          <w:lang w:val="ru-RU" w:eastAsia="zh-CN" w:bidi="hi-IN"/>
        </w:rPr>
        <w:t>, из них 54 по статье 14.1 КоАП РФ.</w:t>
      </w:r>
    </w:p>
    <w:p>
      <w:pPr>
        <w:pStyle w:val="LOnormal"/>
        <w:ind w:left="0" w:right="0" w:firstLine="737"/>
        <w:jc w:val="both"/>
        <w:rPr>
          <w:color w:val="auto"/>
        </w:rPr>
      </w:pPr>
      <w:r>
        <w:rPr/>
      </w:r>
    </w:p>
    <w:p>
      <w:pPr>
        <w:pStyle w:val="LOnormal"/>
        <w:spacing w:lineRule="auto" w:line="240" w:before="0" w:after="0"/>
        <w:ind w:left="0" w:right="0" w:firstLine="737"/>
        <w:contextualSpacing/>
        <w:jc w:val="both"/>
        <w:rPr>
          <w:color w:val="auto"/>
        </w:rPr>
      </w:pPr>
      <w:r>
        <w:rPr>
          <w:color w:val="auto"/>
        </w:rPr>
      </w:r>
    </w:p>
    <w:p>
      <w:pPr>
        <w:pStyle w:val="Normal"/>
        <w:widowControl/>
        <w:suppressAutoHyphens w:val="true"/>
        <w:bidi w:val="0"/>
        <w:spacing w:lineRule="auto" w:line="240"/>
        <w:ind w:left="0" w:right="0" w:firstLine="567"/>
        <w:jc w:val="both"/>
        <w:rPr>
          <w:color w:val="auto"/>
        </w:rPr>
      </w:pPr>
      <w:r>
        <w:rPr>
          <w:b/>
          <w:bCs/>
          <w:i/>
          <w:iCs/>
          <w:color w:val="auto"/>
          <w:sz w:val="28"/>
          <w:szCs w:val="28"/>
        </w:rPr>
        <w:t>Оказание государственных услуг.</w:t>
      </w:r>
      <w:r>
        <w:rPr>
          <w:color w:val="auto"/>
          <w:sz w:val="28"/>
          <w:szCs w:val="28"/>
        </w:rPr>
        <w:t xml:space="preserve"> </w:t>
      </w:r>
    </w:p>
    <w:p>
      <w:pPr>
        <w:pStyle w:val="LOnormal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left="0" w:right="0" w:firstLine="567"/>
        <w:contextualSpacing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За рассматриваемый период от граждан и юридических лиц поступило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auto"/>
          <w:position w:val="0"/>
          <w:sz w:val="28"/>
          <w:sz w:val="28"/>
          <w:szCs w:val="28"/>
          <w:u w:val="none"/>
          <w:vertAlign w:val="baseline"/>
        </w:rPr>
        <w:t xml:space="preserve"> 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25223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заявлени</w:t>
      </w:r>
      <w:r>
        <w:rPr>
          <w:rFonts w:eastAsia="Tahoma" w:cs="Noto Sans Devanagari"/>
          <w:color w:val="auto"/>
          <w:kern w:val="0"/>
          <w:sz w:val="28"/>
          <w:szCs w:val="28"/>
          <w:lang w:val="ru-RU" w:eastAsia="zh-CN" w:bidi="hi-IN"/>
        </w:rPr>
        <w:t>я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(АППГ – 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21973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, +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14,8 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%)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, из них в электронном виде 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24780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(доля заявлений в электронном виде составила 98,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24 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%, АППГ – 98,5 %)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. </w:t>
      </w:r>
    </w:p>
    <w:p>
      <w:pPr>
        <w:pStyle w:val="LOnormal"/>
        <w:keepNext w:val="false"/>
        <w:keepLines w:val="false"/>
        <w:widowControl/>
        <w:shd w:val="clear" w:fill="auto"/>
        <w:spacing w:lineRule="auto" w:line="240" w:before="0" w:after="0"/>
        <w:ind w:left="0" w:right="0" w:firstLine="567"/>
        <w:contextualSpacing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Через сервис «Ваш контроль» поступило 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3421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оценка. Показатель удовлетворенности граждан составил 100 % 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(АППГ – 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 xml:space="preserve">100 </w:t>
      </w:r>
      <w:r>
        <w:rPr>
          <w:rFonts w:eastAsia="Times New Roman" w:cs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%)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.</w:t>
      </w:r>
    </w:p>
    <w:p>
      <w:pPr>
        <w:pStyle w:val="LOnormal"/>
        <w:widowControl/>
        <w:suppressAutoHyphens w:val="true"/>
        <w:bidi w:val="0"/>
        <w:spacing w:lineRule="auto" w:line="240"/>
        <w:ind w:firstLine="567"/>
        <w:jc w:val="both"/>
        <w:rPr>
          <w:color w:val="auto"/>
        </w:rPr>
      </w:pPr>
      <w:r>
        <w:rPr>
          <w:rFonts w:eastAsia="Calibri" w:eastAsiaTheme="minorHAnsi"/>
          <w:color w:val="auto"/>
          <w:sz w:val="28"/>
          <w:szCs w:val="28"/>
        </w:rPr>
        <w:t xml:space="preserve">Подтвержденные жалобы на порядок предоставления государственных услуг отсутствуют </w:t>
      </w:r>
      <w:r>
        <w:rPr>
          <w:rFonts w:eastAsia="Calibri" w:eastAsiaTheme="minorHAnsi"/>
          <w:i/>
          <w:color w:val="auto"/>
          <w:sz w:val="28"/>
          <w:szCs w:val="28"/>
        </w:rPr>
        <w:t xml:space="preserve">(всего поступило жалоб: ГИСДО – </w:t>
      </w:r>
      <w:r>
        <w:rPr>
          <w:rFonts w:eastAsia="Calibri"/>
          <w:i/>
          <w:color w:val="auto"/>
          <w:sz w:val="28"/>
          <w:szCs w:val="28"/>
        </w:rPr>
        <w:t>1,</w:t>
      </w:r>
      <w:r>
        <w:rPr>
          <w:rFonts w:eastAsia="Calibri" w:eastAsiaTheme="minorHAnsi"/>
          <w:i/>
          <w:color w:val="auto"/>
          <w:sz w:val="28"/>
          <w:szCs w:val="28"/>
        </w:rPr>
        <w:t xml:space="preserve"> письменных жалоб – </w:t>
      </w:r>
      <w:r>
        <w:rPr>
          <w:rFonts w:eastAsia="Calibri"/>
          <w:i/>
          <w:color w:val="auto"/>
          <w:sz w:val="28"/>
          <w:szCs w:val="28"/>
        </w:rPr>
        <w:t>0</w:t>
      </w:r>
      <w:r>
        <w:rPr>
          <w:rFonts w:eastAsia="Calibri" w:eastAsiaTheme="minorHAnsi"/>
          <w:i/>
          <w:color w:val="auto"/>
          <w:sz w:val="28"/>
          <w:szCs w:val="28"/>
        </w:rPr>
        <w:t>)</w:t>
      </w:r>
      <w:r>
        <w:rPr>
          <w:rFonts w:eastAsia="Calibri" w:eastAsiaTheme="minorHAnsi"/>
          <w:color w:val="auto"/>
          <w:sz w:val="28"/>
          <w:szCs w:val="28"/>
        </w:rPr>
        <w:t>.</w:t>
      </w:r>
    </w:p>
    <w:p>
      <w:pPr>
        <w:pStyle w:val="Normal"/>
        <w:ind w:firstLine="567"/>
        <w:jc w:val="both"/>
        <w:rPr>
          <w:b/>
          <w:b/>
          <w:bCs/>
          <w:i/>
          <w:i/>
          <w:iCs/>
          <w:color w:val="000000"/>
          <w:sz w:val="28"/>
          <w:szCs w:val="28"/>
        </w:rPr>
      </w:pPr>
      <w:r>
        <w:rPr>
          <w:sz w:val="28"/>
          <w:szCs w:val="28"/>
          <w:highlight w:val="yellow"/>
        </w:rPr>
      </w:r>
      <w:bookmarkStart w:id="0" w:name="_GoBack2"/>
      <w:bookmarkStart w:id="1" w:name="_GoBack2"/>
      <w:bookmarkEnd w:id="1"/>
    </w:p>
    <w:p>
      <w:pPr>
        <w:pStyle w:val="Style31"/>
        <w:widowControl/>
        <w:tabs>
          <w:tab w:val="clear" w:pos="408"/>
          <w:tab w:val="left" w:pos="675" w:leader="none"/>
        </w:tabs>
        <w:suppressAutoHyphens w:val="true"/>
        <w:bidi w:val="0"/>
        <w:spacing w:lineRule="auto" w:line="240" w:before="0" w:after="0"/>
        <w:ind w:left="0" w:right="0" w:firstLine="567"/>
        <w:contextualSpacing/>
        <w:jc w:val="right"/>
        <w:rPr>
          <w:sz w:val="28"/>
          <w:szCs w:val="28"/>
        </w:rPr>
      </w:pPr>
      <w:r>
        <w:rPr>
          <w:rFonts w:cs="Times New Roman"/>
          <w:spacing w:val="-4"/>
          <w:sz w:val="28"/>
          <w:szCs w:val="28"/>
        </w:rPr>
        <w:t>ЦЛРР Управления Росгвардии по Республике Коми</w:t>
      </w:r>
    </w:p>
    <w:sectPr>
      <w:type w:val="nextPage"/>
      <w:pgSz w:w="11906" w:h="16838"/>
      <w:pgMar w:left="1701" w:right="1134" w:header="0" w:top="993" w:footer="0" w:bottom="880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4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53285"/>
    <w:pPr>
      <w:widowControl/>
      <w:suppressAutoHyphens w:val="true"/>
      <w:bidi w:val="0"/>
      <w:spacing w:lineRule="auto" w:line="240" w:before="0" w:after="0"/>
      <w:contextualSpacing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Привязка сноски"/>
    <w:rsid w:val="00653285"/>
    <w:rPr>
      <w:rFonts w:cs="Times New Roman"/>
      <w:vertAlign w:val="superscript"/>
    </w:rPr>
  </w:style>
  <w:style w:type="character" w:styleId="Style15" w:customStyle="1">
    <w:name w:val="Символ сноски"/>
    <w:qFormat/>
    <w:rsid w:val="00653285"/>
    <w:rPr/>
  </w:style>
  <w:style w:type="character" w:styleId="Style16" w:customStyle="1">
    <w:name w:val="Основной текст Знак"/>
    <w:basedOn w:val="DefaultParagraphFont"/>
    <w:link w:val="a5"/>
    <w:qFormat/>
    <w:rsid w:val="00653285"/>
    <w:rPr>
      <w:rFonts w:ascii="Times New Roman" w:hAnsi="Times New Roman" w:eastAsia="Times New Roman" w:cs="Times New Roman"/>
      <w:sz w:val="26"/>
      <w:szCs w:val="20"/>
      <w:lang w:eastAsia="ru-RU"/>
    </w:rPr>
  </w:style>
  <w:style w:type="character" w:styleId="Style17" w:customStyle="1">
    <w:name w:val="Верхний колонтитул Знак"/>
    <w:basedOn w:val="DefaultParagraphFont"/>
    <w:link w:val="a7"/>
    <w:uiPriority w:val="99"/>
    <w:qFormat/>
    <w:rsid w:val="00653285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8" w:customStyle="1">
    <w:name w:val="Основной текст с отступом Знак"/>
    <w:basedOn w:val="DefaultParagraphFont"/>
    <w:link w:val="a9"/>
    <w:uiPriority w:val="99"/>
    <w:qFormat/>
    <w:rsid w:val="00653285"/>
    <w:rPr>
      <w:rFonts w:ascii="Times New Roman" w:hAnsi="Times New Roman" w:eastAsia="Calibri" w:cs="Times New Roman"/>
      <w:sz w:val="28"/>
      <w:szCs w:val="44"/>
    </w:rPr>
  </w:style>
  <w:style w:type="character" w:styleId="Style19" w:customStyle="1">
    <w:name w:val="Текст сноски Знак"/>
    <w:basedOn w:val="DefaultParagraphFont"/>
    <w:link w:val="ab"/>
    <w:qFormat/>
    <w:rsid w:val="00653285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027846"/>
    <w:rPr>
      <w:vertAlign w:val="superscript"/>
    </w:rPr>
  </w:style>
  <w:style w:type="character" w:styleId="Style20" w:customStyle="1">
    <w:name w:val="Нижний колонтитул Знак"/>
    <w:basedOn w:val="DefaultParagraphFont"/>
    <w:link w:val="ae"/>
    <w:uiPriority w:val="99"/>
    <w:qFormat/>
    <w:rsid w:val="007a2081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21" w:customStyle="1">
    <w:name w:val="Текст выноски Знак"/>
    <w:basedOn w:val="DefaultParagraphFont"/>
    <w:link w:val="af0"/>
    <w:uiPriority w:val="99"/>
    <w:semiHidden/>
    <w:qFormat/>
    <w:rsid w:val="00a272a0"/>
    <w:rPr>
      <w:rFonts w:ascii="Tahoma" w:hAnsi="Tahoma" w:eastAsia="Times New Roman" w:cs="Tahoma"/>
      <w:sz w:val="16"/>
      <w:szCs w:val="16"/>
      <w:lang w:eastAsia="ru-RU"/>
    </w:rPr>
  </w:style>
  <w:style w:type="character" w:styleId="2" w:customStyle="1">
    <w:name w:val="Основной текст (2)_"/>
    <w:basedOn w:val="DefaultParagraphFont"/>
    <w:link w:val="20"/>
    <w:qFormat/>
    <w:rsid w:val="00ea1a3a"/>
    <w:rPr>
      <w:rFonts w:ascii="Times New Roman" w:hAnsi="Times New Roman" w:eastAsia="Times New Roman" w:cs="Times New Roman"/>
      <w:sz w:val="28"/>
      <w:szCs w:val="28"/>
      <w:shd w:fill="FFFFFF" w:val="clear"/>
    </w:rPr>
  </w:style>
  <w:style w:type="character" w:styleId="1" w:customStyle="1">
    <w:name w:val="Основной текст1"/>
    <w:qFormat/>
    <w:rsid w:val="001d3a11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24"/>
      <w:szCs w:val="24"/>
    </w:rPr>
  </w:style>
  <w:style w:type="character" w:styleId="Style22">
    <w:name w:val="Привязка концевой сноски"/>
    <w:rPr>
      <w:vertAlign w:val="superscript"/>
    </w:rPr>
  </w:style>
  <w:style w:type="character" w:styleId="Style23">
    <w:name w:val="Символ концевой сноски"/>
    <w:qFormat/>
    <w:rPr/>
  </w:style>
  <w:style w:type="paragraph" w:styleId="Style24">
    <w:name w:val="Заголовок"/>
    <w:basedOn w:val="Normal"/>
    <w:next w:val="Style25"/>
    <w:qFormat/>
    <w:pPr>
      <w:keepNext w:val="true"/>
      <w:spacing w:before="240" w:after="120"/>
      <w:contextualSpacing/>
    </w:pPr>
    <w:rPr>
      <w:rFonts w:ascii="PT Astra Serif" w:hAnsi="PT Astra Serif" w:eastAsia="Tahoma" w:cs="Noto Sans Devanagari"/>
      <w:sz w:val="28"/>
      <w:szCs w:val="28"/>
    </w:rPr>
  </w:style>
  <w:style w:type="paragraph" w:styleId="Style25">
    <w:name w:val="Body Text"/>
    <w:basedOn w:val="Normal"/>
    <w:link w:val="a6"/>
    <w:rsid w:val="00653285"/>
    <w:pPr>
      <w:ind w:right="5244" w:hanging="0"/>
      <w:jc w:val="both"/>
    </w:pPr>
    <w:rPr>
      <w:sz w:val="26"/>
    </w:rPr>
  </w:style>
  <w:style w:type="paragraph" w:styleId="Style26">
    <w:name w:val="List"/>
    <w:basedOn w:val="Style25"/>
    <w:pPr/>
    <w:rPr>
      <w:rFonts w:ascii="PT Astra Serif" w:hAnsi="PT Astra Serif" w:cs="Noto Sans Devanagari"/>
    </w:rPr>
  </w:style>
  <w:style w:type="paragraph" w:styleId="Style27">
    <w:name w:val="Caption"/>
    <w:basedOn w:val="Normal"/>
    <w:qFormat/>
    <w:pPr>
      <w:suppressLineNumbers/>
      <w:spacing w:before="120" w:after="120"/>
      <w:contextualSpacing/>
    </w:pPr>
    <w:rPr>
      <w:rFonts w:ascii="PT Astra Serif" w:hAnsi="PT Astra Serif" w:cs="Noto Sans Devanagari"/>
      <w:i/>
      <w:iCs/>
      <w:sz w:val="24"/>
      <w:szCs w:val="24"/>
    </w:rPr>
  </w:style>
  <w:style w:type="paragraph" w:styleId="Style2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9">
    <w:name w:val="Верхний и нижний колонтитулы"/>
    <w:basedOn w:val="Normal"/>
    <w:qFormat/>
    <w:pPr/>
    <w:rPr/>
  </w:style>
  <w:style w:type="paragraph" w:styleId="Style30">
    <w:name w:val="Header"/>
    <w:basedOn w:val="Normal"/>
    <w:link w:val="a8"/>
    <w:uiPriority w:val="99"/>
    <w:rsid w:val="00653285"/>
    <w:pPr>
      <w:tabs>
        <w:tab w:val="clear" w:pos="408"/>
        <w:tab w:val="center" w:pos="4536" w:leader="none"/>
        <w:tab w:val="right" w:pos="9072" w:leader="none"/>
      </w:tabs>
    </w:pPr>
    <w:rPr/>
  </w:style>
  <w:style w:type="paragraph" w:styleId="Style31">
    <w:name w:val="Body Text Indent"/>
    <w:basedOn w:val="Normal"/>
    <w:link w:val="aa"/>
    <w:uiPriority w:val="99"/>
    <w:unhideWhenUsed/>
    <w:rsid w:val="00653285"/>
    <w:pPr>
      <w:spacing w:before="0" w:after="120"/>
      <w:ind w:left="283" w:firstLine="709"/>
      <w:contextualSpacing/>
    </w:pPr>
    <w:rPr>
      <w:rFonts w:eastAsia="Calibri"/>
      <w:sz w:val="28"/>
      <w:szCs w:val="44"/>
      <w:lang w:eastAsia="en-US"/>
    </w:rPr>
  </w:style>
  <w:style w:type="paragraph" w:styleId="ConsPlusNormal" w:customStyle="1">
    <w:name w:val="ConsPlusNormal"/>
    <w:qFormat/>
    <w:rsid w:val="0065328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8"/>
      <w:szCs w:val="28"/>
      <w:lang w:val="ru-RU" w:eastAsia="ru-RU" w:bidi="ar-SA"/>
    </w:rPr>
  </w:style>
  <w:style w:type="paragraph" w:styleId="Style32">
    <w:name w:val="Footnote Text"/>
    <w:basedOn w:val="Normal"/>
    <w:link w:val="ac"/>
    <w:rsid w:val="00653285"/>
    <w:pPr/>
    <w:rPr/>
  </w:style>
  <w:style w:type="paragraph" w:styleId="Style33">
    <w:name w:val="Footer"/>
    <w:basedOn w:val="Normal"/>
    <w:link w:val="af"/>
    <w:uiPriority w:val="99"/>
    <w:unhideWhenUsed/>
    <w:rsid w:val="007a2081"/>
    <w:pPr>
      <w:tabs>
        <w:tab w:val="clear" w:pos="4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af1"/>
    <w:uiPriority w:val="99"/>
    <w:semiHidden/>
    <w:unhideWhenUsed/>
    <w:qFormat/>
    <w:rsid w:val="00a272a0"/>
    <w:pPr/>
    <w:rPr>
      <w:rFonts w:ascii="Tahoma" w:hAnsi="Tahoma" w:cs="Tahoma"/>
      <w:sz w:val="16"/>
      <w:szCs w:val="16"/>
    </w:rPr>
  </w:style>
  <w:style w:type="paragraph" w:styleId="21" w:customStyle="1">
    <w:name w:val="Основной текст (2)"/>
    <w:basedOn w:val="Normal"/>
    <w:link w:val="2"/>
    <w:qFormat/>
    <w:rsid w:val="00ea1a3a"/>
    <w:pPr>
      <w:widowControl w:val="false"/>
      <w:shd w:val="clear" w:color="auto" w:fill="FFFFFF"/>
      <w:suppressAutoHyphens w:val="false"/>
      <w:spacing w:lineRule="exact" w:line="322" w:before="0" w:after="0"/>
      <w:contextualSpacing/>
    </w:pPr>
    <w:rPr>
      <w:sz w:val="28"/>
      <w:szCs w:val="28"/>
      <w:lang w:eastAsia="en-US"/>
    </w:rPr>
  </w:style>
  <w:style w:type="paragraph" w:styleId="Style34" w:customStyle="1">
    <w:name w:val="Содержимое таблицы"/>
    <w:basedOn w:val="Normal"/>
    <w:qFormat/>
    <w:rsid w:val="00f11239"/>
    <w:pPr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paragraph" w:styleId="Style36">
    <w:name w:val="Блочная цитата"/>
    <w:basedOn w:val="Normal"/>
    <w:qFormat/>
    <w:pPr>
      <w:spacing w:before="0" w:after="283"/>
      <w:ind w:left="567" w:right="567" w:hanging="0"/>
      <w:contextualSpacing/>
    </w:pPr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1"/>
    <w:uiPriority w:val="59"/>
    <w:rsid w:val="00d02a84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3F74B-812D-4F63-B519-1351E970E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9822</TotalTime>
  <Application>LibreOffice/6.4.7.2$Linux_X86_64 LibreOffice_project/40$Build-2</Application>
  <Pages>2</Pages>
  <Words>485</Words>
  <Characters>3014</Characters>
  <CharactersWithSpaces>3497</CharactersWithSpaces>
  <Paragraphs>29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2023-06-29T07:47:00Z</dcterms:created>
  <dc:creator>Губин Юрий Владимирович</dc:creator>
  <dc:description/>
  <dc:language>ru-RU</dc:language>
  <cp:lastModifiedBy/>
  <cp:lastPrinted>2025-01-13T14:34:14Z</cp:lastPrinted>
  <dcterms:modified xsi:type="dcterms:W3CDTF">2025-03-20T11:43:20Z</dcterms:modified>
  <cp:revision>214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